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85.0" w:type="dxa"/>
        <w:jc w:val="left"/>
        <w:tblInd w:w="-5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3660"/>
        <w:gridCol w:w="4410"/>
        <w:tblGridChange w:id="0">
          <w:tblGrid>
            <w:gridCol w:w="1515"/>
            <w:gridCol w:w="3660"/>
            <w:gridCol w:w="4410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PMID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List of terms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Source text from publications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19088065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extensively sialylated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Our main finding is that KLK6 from ovarian cancer ascites (but not CSF) is extensively sialylated.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terminal sialic acid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These results suggested presence of terminal sialic acid residues on ascites-derived KLK6 but not on the CSF-derived KLK6.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core-fucosylated bi-, tri-, or tetra-antennary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majority of the identified structures were core-fucosylated bi-, tri-, or tetra-antennary glycans with a varying number of terminal galactose-linked sialic acids.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19343721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complex di- and tri-sialylated structures;</w:t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N-glycans of hPC are complex di- and tri-sialylated structures,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monosialylated biantennary;</w:t>
            </w:r>
          </w:p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core fucosylation</w:t>
            </w:r>
          </w:p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monosialylated biantennary glycan with a core fucosylation.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2813359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biantennary complex;</w:t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tetraantennary complex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However, structural analyses of their N-linked sugar chains revealed that EPO-bi contains the biantennary complex type as the major sugar chain, while EPO-tetra and the standard EPO contain the tetraantennary complex type as the major sugar chain. </w:t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24706782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Oligomannosidic;</w:t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Complex;</w:t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N-glycans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Detailed glycosylation analysis exhibited complex and oligomannosidic N-glycans in a site-specific manner on human-serum IgM and on plant- and human-cell-line–produced SM6.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Times New Roman" w:cs="Times New Roman" w:eastAsia="Times New Roman" w:hAnsi="Times New Roman"/>
          <w:sz w:val="24"/>
          <w:szCs w:val="24"/>
          <w:shd w:fill="f0f0ff" w:val="clear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