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t xml:space="preserve">Abstract for ISB conference </w:t>
      </w:r>
    </w:p>
    <w:p w:rsidR="00000000" w:rsidDel="00000000" w:rsidP="00000000" w:rsidRDefault="00000000" w:rsidRPr="00000000" w14:paraId="00000002">
      <w:pPr>
        <w:pageBreakBefore w:val="0"/>
        <w:rPr/>
      </w:pPr>
      <w:r w:rsidDel="00000000" w:rsidR="00000000" w:rsidRPr="00000000">
        <w:rPr>
          <w:b w:val="1"/>
          <w:rtl w:val="0"/>
        </w:rPr>
        <w:t xml:space="preserve">Link</w:t>
      </w:r>
      <w:r w:rsidDel="00000000" w:rsidR="00000000" w:rsidRPr="00000000">
        <w:rPr>
          <w:rtl w:val="0"/>
        </w:rPr>
        <w:t xml:space="preserve">: </w:t>
      </w:r>
      <w:hyperlink r:id="rId6">
        <w:r w:rsidDel="00000000" w:rsidR="00000000" w:rsidRPr="00000000">
          <w:rPr>
            <w:color w:val="1155cc"/>
            <w:u w:val="single"/>
            <w:rtl w:val="0"/>
          </w:rPr>
          <w:t xml:space="preserve">https://www.biocuration.org/14th-annual-biocuration-conference-virtual/</w:t>
        </w:r>
      </w:hyperlink>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b w:val="1"/>
          <w:rtl w:val="0"/>
        </w:rPr>
        <w:t xml:space="preserve">Seminar</w:t>
      </w:r>
      <w:r w:rsidDel="00000000" w:rsidR="00000000" w:rsidRPr="00000000">
        <w:rPr>
          <w:rtl w:val="0"/>
        </w:rPr>
        <w:t xml:space="preserve">: June 15 2021</w:t>
      </w:r>
    </w:p>
    <w:p w:rsidR="00000000" w:rsidDel="00000000" w:rsidP="00000000" w:rsidRDefault="00000000" w:rsidRPr="00000000" w14:paraId="00000004">
      <w:pPr>
        <w:pageBreakBefore w:val="0"/>
        <w:rPr/>
      </w:pPr>
      <w:r w:rsidDel="00000000" w:rsidR="00000000" w:rsidRPr="00000000">
        <w:rPr>
          <w:b w:val="1"/>
          <w:rtl w:val="0"/>
        </w:rPr>
        <w:t xml:space="preserve">Abstract deadline</w:t>
      </w:r>
      <w:r w:rsidDel="00000000" w:rsidR="00000000" w:rsidRPr="00000000">
        <w:rPr>
          <w:rtl w:val="0"/>
        </w:rPr>
        <w:t xml:space="preserve">: May 15th 2021</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b w:val="1"/>
          <w:rtl w:val="0"/>
        </w:rPr>
        <w:t xml:space="preserve">Title</w:t>
      </w:r>
      <w:r w:rsidDel="00000000" w:rsidR="00000000" w:rsidRPr="00000000">
        <w:rPr>
          <w:rtl w:val="0"/>
        </w:rPr>
        <w:t xml:space="preserve">: Automatic literature mining tool to extract glycosylation information from literature</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vertAlign w:val="superscript"/>
        </w:rPr>
      </w:pPr>
      <w:r w:rsidDel="00000000" w:rsidR="00000000" w:rsidRPr="00000000">
        <w:rPr>
          <w:b w:val="1"/>
          <w:rtl w:val="0"/>
        </w:rPr>
        <w:t xml:space="preserve">Authors</w:t>
      </w:r>
      <w:r w:rsidDel="00000000" w:rsidR="00000000" w:rsidRPr="00000000">
        <w:rPr>
          <w:rtl w:val="0"/>
        </w:rPr>
        <w:t xml:space="preserve">: Rahi Navelkar</w:t>
      </w:r>
      <w:r w:rsidDel="00000000" w:rsidR="00000000" w:rsidRPr="00000000">
        <w:rPr>
          <w:vertAlign w:val="superscript"/>
          <w:rtl w:val="0"/>
        </w:rPr>
        <w:t xml:space="preserve">1</w:t>
      </w:r>
      <w:r w:rsidDel="00000000" w:rsidR="00000000" w:rsidRPr="00000000">
        <w:rPr>
          <w:rtl w:val="0"/>
        </w:rPr>
        <w:t xml:space="preserve">, Karen Ross</w:t>
      </w:r>
      <w:r w:rsidDel="00000000" w:rsidR="00000000" w:rsidRPr="00000000">
        <w:rPr>
          <w:vertAlign w:val="superscript"/>
          <w:rtl w:val="0"/>
        </w:rPr>
        <w:t xml:space="preserve">2</w:t>
      </w:r>
      <w:r w:rsidDel="00000000" w:rsidR="00000000" w:rsidRPr="00000000">
        <w:rPr>
          <w:rtl w:val="0"/>
        </w:rPr>
        <w:t xml:space="preserve">, Catherine Hayes</w:t>
      </w:r>
      <w:r w:rsidDel="00000000" w:rsidR="00000000" w:rsidRPr="00000000">
        <w:rPr>
          <w:vertAlign w:val="superscript"/>
          <w:rtl w:val="0"/>
        </w:rPr>
        <w:t xml:space="preserve">3</w:t>
      </w:r>
      <w:r w:rsidDel="00000000" w:rsidR="00000000" w:rsidRPr="00000000">
        <w:rPr>
          <w:rtl w:val="0"/>
        </w:rPr>
        <w:t xml:space="preserve">, Frederique Lisacek</w:t>
      </w:r>
      <w:r w:rsidDel="00000000" w:rsidR="00000000" w:rsidRPr="00000000">
        <w:rPr>
          <w:vertAlign w:val="superscript"/>
          <w:rtl w:val="0"/>
        </w:rPr>
        <w:t xml:space="preserve">3 </w:t>
      </w:r>
      <w:r w:rsidDel="00000000" w:rsidR="00000000" w:rsidRPr="00000000">
        <w:rPr>
          <w:rtl w:val="0"/>
        </w:rPr>
        <w:t xml:space="preserve">,</w:t>
      </w:r>
      <w:r w:rsidDel="00000000" w:rsidR="00000000" w:rsidRPr="00000000">
        <w:rPr>
          <w:rtl w:val="0"/>
        </w:rPr>
        <w:t xml:space="preserve">Peng Su</w:t>
      </w:r>
      <w:r w:rsidDel="00000000" w:rsidR="00000000" w:rsidRPr="00000000">
        <w:rPr>
          <w:vertAlign w:val="superscript"/>
          <w:rtl w:val="0"/>
        </w:rPr>
        <w:t xml:space="preserve">4 </w:t>
      </w:r>
      <w:r w:rsidDel="00000000" w:rsidR="00000000" w:rsidRPr="00000000">
        <w:rPr>
          <w:rtl w:val="0"/>
        </w:rPr>
        <w:t xml:space="preserve">,</w:t>
      </w:r>
      <w:r w:rsidDel="00000000" w:rsidR="00000000" w:rsidRPr="00000000">
        <w:rPr>
          <w:rtl w:val="0"/>
        </w:rPr>
        <w:t xml:space="preserve">Vijay Shanker</w:t>
      </w:r>
      <w:r w:rsidDel="00000000" w:rsidR="00000000" w:rsidRPr="00000000">
        <w:rPr>
          <w:vertAlign w:val="superscript"/>
          <w:rtl w:val="0"/>
        </w:rPr>
        <w:t xml:space="preserve">4</w:t>
      </w:r>
    </w:p>
    <w:p w:rsidR="00000000" w:rsidDel="00000000" w:rsidP="00000000" w:rsidRDefault="00000000" w:rsidRPr="00000000" w14:paraId="00000009">
      <w:pPr>
        <w:pageBreakBefore w:val="0"/>
        <w:rPr>
          <w:vertAlign w:val="superscript"/>
        </w:rPr>
      </w:pPr>
      <w:r w:rsidDel="00000000" w:rsidR="00000000" w:rsidRPr="00000000">
        <w:rPr>
          <w:rtl w:val="0"/>
        </w:rPr>
      </w:r>
    </w:p>
    <w:p w:rsidR="00000000" w:rsidDel="00000000" w:rsidP="00000000" w:rsidRDefault="00000000" w:rsidRPr="00000000" w14:paraId="0000000A">
      <w:pPr>
        <w:pageBreakBefore w:val="0"/>
        <w:rPr>
          <w:b w:val="1"/>
        </w:rPr>
      </w:pPr>
      <w:r w:rsidDel="00000000" w:rsidR="00000000" w:rsidRPr="00000000">
        <w:rPr>
          <w:b w:val="1"/>
          <w:rtl w:val="0"/>
        </w:rPr>
        <w:t xml:space="preserve">Affiliation:</w:t>
      </w:r>
    </w:p>
    <w:p w:rsidR="00000000" w:rsidDel="00000000" w:rsidP="00000000" w:rsidRDefault="00000000" w:rsidRPr="00000000" w14:paraId="0000000B">
      <w:pPr>
        <w:pageBreakBefore w:val="0"/>
        <w:spacing w:after="0" w:before="0" w:line="240" w:lineRule="auto"/>
        <w:rPr/>
      </w:pPr>
      <w:r w:rsidDel="00000000" w:rsidR="00000000" w:rsidRPr="00000000">
        <w:rPr>
          <w:vertAlign w:val="superscript"/>
          <w:rtl w:val="0"/>
        </w:rPr>
        <w:t xml:space="preserve">1</w:t>
      </w:r>
      <w:r w:rsidDel="00000000" w:rsidR="00000000" w:rsidRPr="00000000">
        <w:rPr>
          <w:rtl w:val="0"/>
        </w:rPr>
        <w:t xml:space="preserve">Department of Biochemistry &amp; Molecular Medicine, The George Washington School of Medicine and Health Sciences, Washington, DC 20052, USA</w:t>
      </w:r>
      <w:r w:rsidDel="00000000" w:rsidR="00000000" w:rsidRPr="00000000">
        <w:rPr>
          <w:highlight w:val="white"/>
          <w:rtl w:val="0"/>
        </w:rPr>
        <w:t xml:space="preserve">.</w:t>
      </w:r>
      <w:r w:rsidDel="00000000" w:rsidR="00000000" w:rsidRPr="00000000">
        <w:rPr>
          <w:rtl w:val="0"/>
        </w:rPr>
        <w:t xml:space="preserve">,</w:t>
      </w:r>
    </w:p>
    <w:p w:rsidR="00000000" w:rsidDel="00000000" w:rsidP="00000000" w:rsidRDefault="00000000" w:rsidRPr="00000000" w14:paraId="0000000C">
      <w:pPr>
        <w:pageBreakBefore w:val="0"/>
        <w:spacing w:after="0" w:before="0" w:line="240" w:lineRule="auto"/>
        <w:rPr/>
      </w:pPr>
      <w:r w:rsidDel="00000000" w:rsidR="00000000" w:rsidRPr="00000000">
        <w:rPr>
          <w:vertAlign w:val="superscript"/>
          <w:rtl w:val="0"/>
        </w:rPr>
        <w:t xml:space="preserve">2</w:t>
      </w:r>
      <w:r w:rsidDel="00000000" w:rsidR="00000000" w:rsidRPr="00000000">
        <w:rPr>
          <w:rtl w:val="0"/>
        </w:rPr>
        <w:t xml:space="preserve">Department of Biochemistry and Molecular &amp; Cellular Biology, Georgetown University, Washington, DC 20007, USA.,</w:t>
      </w:r>
    </w:p>
    <w:p w:rsidR="00000000" w:rsidDel="00000000" w:rsidP="00000000" w:rsidRDefault="00000000" w:rsidRPr="00000000" w14:paraId="0000000D">
      <w:pPr>
        <w:pageBreakBefore w:val="0"/>
        <w:spacing w:after="0" w:before="0" w:line="240" w:lineRule="auto"/>
        <w:rPr/>
      </w:pPr>
      <w:r w:rsidDel="00000000" w:rsidR="00000000" w:rsidRPr="00000000">
        <w:rPr>
          <w:vertAlign w:val="superscript"/>
          <w:rtl w:val="0"/>
        </w:rPr>
        <w:t xml:space="preserve">3</w:t>
      </w:r>
      <w:r w:rsidDel="00000000" w:rsidR="00000000" w:rsidRPr="00000000">
        <w:rPr>
          <w:rtl w:val="0"/>
        </w:rPr>
        <w:t xml:space="preserve">Swiss Institute of Bioinformatics, Geneva, Switzerland.,</w:t>
      </w:r>
    </w:p>
    <w:p w:rsidR="00000000" w:rsidDel="00000000" w:rsidP="00000000" w:rsidRDefault="00000000" w:rsidRPr="00000000" w14:paraId="0000000E">
      <w:pPr>
        <w:pageBreakBefore w:val="0"/>
        <w:spacing w:line="240" w:lineRule="auto"/>
        <w:rPr/>
      </w:pPr>
      <w:r w:rsidDel="00000000" w:rsidR="00000000" w:rsidRPr="00000000">
        <w:rPr>
          <w:vertAlign w:val="superscript"/>
          <w:rtl w:val="0"/>
        </w:rPr>
        <w:t xml:space="preserve">4</w:t>
      </w:r>
      <w:r w:rsidDel="00000000" w:rsidR="00000000" w:rsidRPr="00000000">
        <w:rPr>
          <w:highlight w:val="white"/>
          <w:rtl w:val="0"/>
        </w:rPr>
        <w:t xml:space="preserve">University of Delaware, Newark, DE.</w:t>
      </w:r>
      <w:r w:rsidDel="00000000" w:rsidR="00000000" w:rsidRPr="00000000">
        <w:rPr>
          <w:rtl w:val="0"/>
        </w:rPr>
      </w:r>
    </w:p>
    <w:p w:rsidR="00000000" w:rsidDel="00000000" w:rsidP="00000000" w:rsidRDefault="00000000" w:rsidRPr="00000000" w14:paraId="0000000F">
      <w:pPr>
        <w:pageBreakBefore w:val="0"/>
        <w:spacing w:line="240" w:lineRule="auto"/>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tl w:val="0"/>
        </w:rPr>
        <w:t xml:space="preserve">Glycosylation is one of the most common and complex post-translational phenomena which impacts several key biological processes making it vital to study it with regard to human health and disease. </w:t>
      </w:r>
      <w:r w:rsidDel="00000000" w:rsidR="00000000" w:rsidRPr="00000000">
        <w:rPr>
          <w:rtl w:val="0"/>
        </w:rPr>
        <w:t xml:space="preserve">Recent years have seen a great influx of data in glycobiology research with many papers reporting glycosylation sites, proteins, differential glycosylation in reference to disease, etc</w:t>
      </w:r>
      <w:r w:rsidDel="00000000" w:rsidR="00000000" w:rsidRPr="00000000">
        <w:rPr>
          <w:rtl w:val="0"/>
        </w:rPr>
        <w:t xml:space="preserve">. However, transferring such data into existing bioinformatics databases for public use requires manual curation by experts, which is often time-consuming and expensive. Accelerating this process is key in facilitating biomedical research by providing the latest findings in a standardized way, ready for research use. </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tl w:val="0"/>
        </w:rPr>
        <w:t xml:space="preserve">To facilitate biocuration, we developed a literature mining tool that will detect glycosylated proteins, sites and glycan descriptions automatically in abstracts of publications from the MEDLINE resource. Extracted protein names are normalized to their NCBI gene ID and UniProtKB accession and the data is processed through manual and automatic quality control (QC) </w:t>
      </w:r>
      <w:r w:rsidDel="00000000" w:rsidR="00000000" w:rsidRPr="00000000">
        <w:rPr>
          <w:rtl w:val="0"/>
        </w:rPr>
        <w:t xml:space="preserve">checks</w:t>
      </w:r>
      <w:r w:rsidDel="00000000" w:rsidR="00000000" w:rsidRPr="00000000">
        <w:rPr>
          <w:rtl w:val="0"/>
        </w:rPr>
        <w:t xml:space="preserve">. The QC process </w:t>
      </w:r>
      <w:r w:rsidDel="00000000" w:rsidR="00000000" w:rsidRPr="00000000">
        <w:rPr>
          <w:rtl w:val="0"/>
        </w:rPr>
        <w:t xml:space="preserve">assesses</w:t>
      </w:r>
      <w:r w:rsidDel="00000000" w:rsidR="00000000" w:rsidRPr="00000000">
        <w:rPr>
          <w:rtl w:val="0"/>
        </w:rPr>
        <w:t xml:space="preserve"> the validity of the protein accessions as well as the reported sites  against </w:t>
      </w:r>
      <w:r w:rsidDel="00000000" w:rsidR="00000000" w:rsidRPr="00000000">
        <w:rPr>
          <w:rtl w:val="0"/>
        </w:rPr>
        <w:t xml:space="preserve">fasta </w:t>
      </w:r>
      <w:r w:rsidDel="00000000" w:rsidR="00000000" w:rsidRPr="00000000">
        <w:rPr>
          <w:rtl w:val="0"/>
        </w:rPr>
        <w:t xml:space="preserve">sequence from the UniProtKB database. The data that passes all QC checks  is integrated in the GlyGen (</w:t>
      </w:r>
      <w:hyperlink r:id="rId7">
        <w:r w:rsidDel="00000000" w:rsidR="00000000" w:rsidRPr="00000000">
          <w:rPr>
            <w:color w:val="1155cc"/>
            <w:u w:val="single"/>
            <w:rtl w:val="0"/>
          </w:rPr>
          <w:t xml:space="preserve">https://www.glygen.org/</w:t>
        </w:r>
      </w:hyperlink>
      <w:r w:rsidDel="00000000" w:rsidR="00000000" w:rsidRPr="00000000">
        <w:rPr>
          <w:rtl w:val="0"/>
        </w:rPr>
        <w:t xml:space="preserve">) database and is publicly available. </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tl w:val="0"/>
        </w:rPr>
        <w:t xml:space="preserve">Future plans include fine-tuning the tool to detect  papers describing large-scale experiments (with mentions over 20 glyco-proteins).  Papers identified will be manually curated by experts that contribute to GlyConnect (glyconnect.expasy.org) a partner resource of GlyGen. Finally, we plan to dockerize the system and run it periodically on all “MEDLINE” abstracts to extract relevant information from the latest literature. The generated data will be fed to GlyGen’s data integration pipeline where users can perform complex queries and download the data. The extracted data can be accessed through GlyGen data (</w:t>
      </w:r>
      <w:hyperlink r:id="rId8">
        <w:r w:rsidDel="00000000" w:rsidR="00000000" w:rsidRPr="00000000">
          <w:rPr>
            <w:color w:val="1155cc"/>
            <w:u w:val="single"/>
            <w:rtl w:val="0"/>
          </w:rPr>
          <w:t xml:space="preserve">https://data.glygen.org/GLY_000481</w:t>
        </w:r>
      </w:hyperlink>
      <w:r w:rsidDel="00000000" w:rsidR="00000000" w:rsidRPr="00000000">
        <w:rPr>
          <w:rtl w:val="0"/>
        </w:rPr>
        <w:t xml:space="preserve">) or through individual protein pages (e.g </w:t>
      </w:r>
      <w:hyperlink r:id="rId9">
        <w:r w:rsidDel="00000000" w:rsidR="00000000" w:rsidRPr="00000000">
          <w:rPr>
            <w:color w:val="1155cc"/>
            <w:u w:val="single"/>
            <w:rtl w:val="0"/>
          </w:rPr>
          <w:t xml:space="preserve">https://www.glygen.org/protein/P01106-1#Glycosylation</w:t>
        </w:r>
      </w:hyperlink>
      <w:r w:rsidDel="00000000" w:rsidR="00000000" w:rsidRPr="00000000">
        <w:rPr>
          <w:rtl w:val="0"/>
        </w:rPr>
        <w:t xml:space="preserve"> (under Text Mining tab)).  </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lygen.org/protein/P01106-1#Glycosylation" TargetMode="External"/><Relationship Id="rId5" Type="http://schemas.openxmlformats.org/officeDocument/2006/relationships/styles" Target="styles.xml"/><Relationship Id="rId6" Type="http://schemas.openxmlformats.org/officeDocument/2006/relationships/hyperlink" Target="https://www.biocuration.org/14th-annual-biocuration-conference-virtual/" TargetMode="External"/><Relationship Id="rId7" Type="http://schemas.openxmlformats.org/officeDocument/2006/relationships/hyperlink" Target="https://www.glygen.org/" TargetMode="External"/><Relationship Id="rId8" Type="http://schemas.openxmlformats.org/officeDocument/2006/relationships/hyperlink" Target="https://data.glygen.org/GLY_0004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